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BF" w:rsidRDefault="00AF2DCF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4"/>
          <w:sz w:val="24"/>
          <w:szCs w:val="24"/>
        </w:rPr>
        <w:t>ОБҐРУНТУВАННЯ</w:t>
      </w:r>
    </w:p>
    <w:p w:rsidR="005C1ABF" w:rsidRDefault="00AF2DCF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технічних та якісних характеристик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закупівлі послуг користування спортивною спорудою у складі басейну, тренажерного та спортивного залу для осіб з інвалідністю, </w:t>
      </w:r>
      <w:r>
        <w:rPr>
          <w:rFonts w:ascii="Times New Roman" w:hAnsi="Times New Roman" w:cs="Times New Roman"/>
          <w:spacing w:val="4"/>
          <w:sz w:val="24"/>
          <w:szCs w:val="24"/>
        </w:rPr>
        <w:t>розміру бюджетного призначення, очікуваної вартості предмета закупівлі</w:t>
      </w:r>
    </w:p>
    <w:p w:rsidR="005C1ABF" w:rsidRDefault="005C1ABF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5C1ABF" w:rsidRDefault="00AF2DCF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>Постанова КМУ № 710 від 11.10.2016 «Про ефективне використання державних коштів»)</w:t>
      </w:r>
    </w:p>
    <w:p w:rsidR="005C1ABF" w:rsidRDefault="005C1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5C1ABF" w:rsidRDefault="00AF2DC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горія: </w:t>
      </w:r>
      <w:r>
        <w:rPr>
          <w:rFonts w:ascii="Times New Roman" w:hAnsi="Times New Roman" w:cs="Times New Roman"/>
          <w:spacing w:val="4"/>
          <w:sz w:val="24"/>
          <w:szCs w:val="24"/>
        </w:rPr>
        <w:t>Комунальний заклад «Чернігівська обласна дитячо-юнацька спортивна школа осіб з інвалідністю» Чернігівської обласної ради, 14027, Чернігівська область, м. Чернігів, вул. Шевченка, буд. 61, код за ЄДРПОУ 26135246, категорія замовника: органи державної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влади та органи місцевого самоврядування, зазначені у пункті 1 частини першої статті 2 Закону України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«Про публічні закупівлі».</w:t>
      </w:r>
    </w:p>
    <w:p w:rsidR="005C1ABF" w:rsidRDefault="005C1ABF">
      <w:pPr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5C1ABF" w:rsidRDefault="00AF2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азначатися стосовно кожного лота) та назви відповідних класифікаторів предмета закупівлі й частин предмета закупівлі (лотів) (за наявності</w:t>
      </w:r>
      <w:r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>):</w:t>
      </w:r>
      <w:r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Послуги користування спортивною спорудою у складі басейну, тренажерного та спортивного залу для осіб з інвалідністю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за кодом ДК 021:2015 - 92620000-3 Послуги, пов’язані зі спортом.</w:t>
      </w:r>
    </w:p>
    <w:p w:rsidR="005C1ABF" w:rsidRDefault="005C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C1ABF" w:rsidRDefault="00AF2D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Вид та ідентифікатор процедури закупівлі (у разі наявності):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Відкриті торги – </w:t>
      </w:r>
      <w:r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UA-2023-12-19-016269-a.</w:t>
      </w:r>
    </w:p>
    <w:p w:rsidR="005C1ABF" w:rsidRDefault="005C1A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5C1ABF" w:rsidRDefault="00AF2DC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Очікувана вартість та обґрунтування очікуваної вартості предмета закупівлі: </w:t>
      </w:r>
      <w:r>
        <w:rPr>
          <w:rFonts w:ascii="Times New Roman" w:hAnsi="Times New Roman" w:cs="Times New Roman"/>
          <w:spacing w:val="4"/>
          <w:sz w:val="24"/>
          <w:szCs w:val="24"/>
        </w:rPr>
        <w:t>150 000,0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0 грн. Визначення очікуваної вартості предмета закупівлі обумовлено аналізом </w:t>
      </w:r>
      <w:r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ринку надання аналогічних послуг (річного та місячного) за календарний рік (бюджетний період) 2023 року. Замовником здійснено розрахунок очіку</w:t>
      </w:r>
      <w:r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ваної вартості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275.</w:t>
      </w:r>
    </w:p>
    <w:p w:rsidR="005C1ABF" w:rsidRDefault="00AF2D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При цьому розрахунок очікуваної вартості проводився згідно з аналізом цін надання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послуг користування спортивною спорудою у складі басейну, тренажерного та спортивного залу для осіб з інвалідністю</w:t>
      </w:r>
      <w:r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на дату формування очікуваної вартості предмета закупівлі.</w:t>
      </w:r>
      <w:r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</w:p>
    <w:p w:rsidR="005C1ABF" w:rsidRDefault="005C1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5C1ABF" w:rsidRDefault="00AF2DC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Розмір бюджетного призначення: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216 000,00 грн. згідно з потребою на 2024 рік.</w:t>
      </w:r>
    </w:p>
    <w:p w:rsidR="005C1ABF" w:rsidRDefault="005C1ABF">
      <w:pPr>
        <w:spacing w:after="0" w:line="240" w:lineRule="auto"/>
        <w:jc w:val="both"/>
        <w:rPr>
          <w:rFonts w:ascii="Times New Roman" w:hAnsi="Times New Roman" w:cs="Times New Roman"/>
          <w:color w:val="FF0000"/>
          <w:spacing w:val="4"/>
          <w:sz w:val="24"/>
          <w:szCs w:val="24"/>
        </w:rPr>
      </w:pPr>
    </w:p>
    <w:p w:rsidR="005C1ABF" w:rsidRDefault="00AF2D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Обґрунтування технічних і якісних характеристик. </w:t>
      </w:r>
      <w:r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Термін надання послуг до 31.12.2024 р. </w:t>
      </w:r>
    </w:p>
    <w:p w:rsidR="005C1ABF" w:rsidRDefault="00AF2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 xml:space="preserve">1. Місце надання послуг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16"/>
          <w:lang w:eastAsia="ru-RU"/>
        </w:rPr>
        <w:t>спортивна споруда у складі басейну, тренажерного та спортив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16"/>
          <w:lang w:eastAsia="ru-RU"/>
        </w:rPr>
        <w:t>ного залу для осіб з інвалідністю має бути територіально розміщена на території Чернігівської області або м. Славутич.</w:t>
      </w:r>
    </w:p>
    <w:p w:rsidR="005C1ABF" w:rsidRDefault="00AF2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2. Послуги користування спортивною спорудою у складі басейну, тренажерного та спортивного залу будуть здійснюватися по 31.12.2024.</w:t>
      </w:r>
    </w:p>
    <w:p w:rsidR="005C1ABF" w:rsidRDefault="00AF2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3. Орієнтовний графік (розклад) надання послуг:</w:t>
      </w:r>
    </w:p>
    <w:tbl>
      <w:tblPr>
        <w:tblStyle w:val="24"/>
        <w:tblW w:w="0" w:type="auto"/>
        <w:tblInd w:w="704" w:type="dxa"/>
        <w:tblLook w:val="04A0" w:firstRow="1" w:lastRow="0" w:firstColumn="1" w:lastColumn="0" w:noHBand="0" w:noVBand="1"/>
      </w:tblPr>
      <w:tblGrid>
        <w:gridCol w:w="2122"/>
        <w:gridCol w:w="1847"/>
      </w:tblGrid>
      <w:tr w:rsidR="005C1ABF">
        <w:tc>
          <w:tcPr>
            <w:tcW w:w="3969" w:type="dxa"/>
            <w:gridSpan w:val="2"/>
          </w:tcPr>
          <w:p w:rsidR="005C1ABF" w:rsidRDefault="00A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басейном</w:t>
            </w:r>
            <w:proofErr w:type="spellEnd"/>
          </w:p>
        </w:tc>
      </w:tr>
      <w:tr w:rsidR="005C1ABF">
        <w:tc>
          <w:tcPr>
            <w:tcW w:w="2122" w:type="dxa"/>
          </w:tcPr>
          <w:p w:rsidR="005C1ABF" w:rsidRDefault="00AF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Понеділок</w:t>
            </w:r>
            <w:proofErr w:type="spellEnd"/>
          </w:p>
        </w:tc>
        <w:tc>
          <w:tcPr>
            <w:tcW w:w="1847" w:type="dxa"/>
            <w:vAlign w:val="center"/>
          </w:tcPr>
          <w:p w:rsidR="005C1ABF" w:rsidRDefault="00A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vertAlign w:val="superscript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– 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vertAlign w:val="superscript"/>
                <w:lang w:eastAsia="ru-RU"/>
              </w:rPr>
              <w:t>45</w:t>
            </w:r>
          </w:p>
        </w:tc>
      </w:tr>
      <w:tr w:rsidR="005C1ABF">
        <w:tc>
          <w:tcPr>
            <w:tcW w:w="2122" w:type="dxa"/>
          </w:tcPr>
          <w:p w:rsidR="005C1ABF" w:rsidRDefault="00AF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Вівторок</w:t>
            </w:r>
            <w:proofErr w:type="spellEnd"/>
          </w:p>
        </w:tc>
        <w:tc>
          <w:tcPr>
            <w:tcW w:w="1847" w:type="dxa"/>
          </w:tcPr>
          <w:p w:rsidR="005C1ABF" w:rsidRDefault="00A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vertAlign w:val="superscript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– 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vertAlign w:val="superscript"/>
                <w:lang w:eastAsia="ru-RU"/>
              </w:rPr>
              <w:t>45</w:t>
            </w:r>
          </w:p>
        </w:tc>
      </w:tr>
      <w:tr w:rsidR="005C1ABF">
        <w:tc>
          <w:tcPr>
            <w:tcW w:w="2122" w:type="dxa"/>
          </w:tcPr>
          <w:p w:rsidR="005C1ABF" w:rsidRDefault="00AF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Середа</w:t>
            </w:r>
          </w:p>
        </w:tc>
        <w:tc>
          <w:tcPr>
            <w:tcW w:w="1847" w:type="dxa"/>
          </w:tcPr>
          <w:p w:rsidR="005C1ABF" w:rsidRDefault="00A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vertAlign w:val="superscript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– 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vertAlign w:val="superscript"/>
                <w:lang w:eastAsia="ru-RU"/>
              </w:rPr>
              <w:t>45</w:t>
            </w:r>
          </w:p>
        </w:tc>
      </w:tr>
      <w:tr w:rsidR="005C1ABF">
        <w:tc>
          <w:tcPr>
            <w:tcW w:w="2122" w:type="dxa"/>
          </w:tcPr>
          <w:p w:rsidR="005C1ABF" w:rsidRDefault="00AF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Четвер</w:t>
            </w:r>
            <w:proofErr w:type="spellEnd"/>
          </w:p>
        </w:tc>
        <w:tc>
          <w:tcPr>
            <w:tcW w:w="1847" w:type="dxa"/>
          </w:tcPr>
          <w:p w:rsidR="005C1ABF" w:rsidRDefault="00A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vertAlign w:val="superscript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– 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vertAlign w:val="superscript"/>
                <w:lang w:eastAsia="ru-RU"/>
              </w:rPr>
              <w:t>45</w:t>
            </w:r>
          </w:p>
        </w:tc>
      </w:tr>
      <w:tr w:rsidR="005C1ABF">
        <w:tc>
          <w:tcPr>
            <w:tcW w:w="2122" w:type="dxa"/>
          </w:tcPr>
          <w:p w:rsidR="005C1ABF" w:rsidRDefault="00AF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lastRenderedPageBreak/>
              <w:t>П’ятниця</w:t>
            </w:r>
            <w:proofErr w:type="spellEnd"/>
          </w:p>
        </w:tc>
        <w:tc>
          <w:tcPr>
            <w:tcW w:w="1847" w:type="dxa"/>
          </w:tcPr>
          <w:p w:rsidR="005C1ABF" w:rsidRDefault="00A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vertAlign w:val="superscript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– 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vertAlign w:val="superscript"/>
                <w:lang w:eastAsia="ru-RU"/>
              </w:rPr>
              <w:t>45</w:t>
            </w:r>
          </w:p>
        </w:tc>
      </w:tr>
      <w:tr w:rsidR="005C1ABF">
        <w:tc>
          <w:tcPr>
            <w:tcW w:w="3969" w:type="dxa"/>
            <w:gridSpan w:val="2"/>
            <w:vAlign w:val="center"/>
          </w:tcPr>
          <w:p w:rsidR="005C1ABF" w:rsidRDefault="00A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тренажерним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спортивним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залом</w:t>
            </w:r>
          </w:p>
        </w:tc>
      </w:tr>
      <w:tr w:rsidR="005C1ABF">
        <w:tc>
          <w:tcPr>
            <w:tcW w:w="2122" w:type="dxa"/>
          </w:tcPr>
          <w:p w:rsidR="005C1ABF" w:rsidRDefault="00AF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Понеділок</w:t>
            </w:r>
            <w:proofErr w:type="spellEnd"/>
          </w:p>
        </w:tc>
        <w:tc>
          <w:tcPr>
            <w:tcW w:w="1847" w:type="dxa"/>
            <w:vAlign w:val="center"/>
          </w:tcPr>
          <w:p w:rsidR="005C1ABF" w:rsidRDefault="00A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– 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vertAlign w:val="superscript"/>
                <w:lang w:eastAsia="ru-RU"/>
              </w:rPr>
              <w:t>45</w:t>
            </w:r>
          </w:p>
        </w:tc>
      </w:tr>
      <w:tr w:rsidR="005C1ABF">
        <w:tc>
          <w:tcPr>
            <w:tcW w:w="2122" w:type="dxa"/>
          </w:tcPr>
          <w:p w:rsidR="005C1ABF" w:rsidRDefault="00AF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Середа</w:t>
            </w:r>
          </w:p>
        </w:tc>
        <w:tc>
          <w:tcPr>
            <w:tcW w:w="1847" w:type="dxa"/>
            <w:vAlign w:val="center"/>
          </w:tcPr>
          <w:p w:rsidR="005C1ABF" w:rsidRDefault="00A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– 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vertAlign w:val="superscript"/>
                <w:lang w:eastAsia="ru-RU"/>
              </w:rPr>
              <w:t>45</w:t>
            </w:r>
          </w:p>
        </w:tc>
      </w:tr>
      <w:tr w:rsidR="005C1ABF">
        <w:tc>
          <w:tcPr>
            <w:tcW w:w="2122" w:type="dxa"/>
          </w:tcPr>
          <w:p w:rsidR="005C1ABF" w:rsidRDefault="00AF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П’ятниця</w:t>
            </w:r>
            <w:proofErr w:type="spellEnd"/>
          </w:p>
        </w:tc>
        <w:tc>
          <w:tcPr>
            <w:tcW w:w="1847" w:type="dxa"/>
            <w:vAlign w:val="center"/>
          </w:tcPr>
          <w:p w:rsidR="005C1ABF" w:rsidRDefault="00A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– 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vertAlign w:val="superscript"/>
                <w:lang w:eastAsia="ru-RU"/>
              </w:rPr>
              <w:t>45</w:t>
            </w:r>
          </w:p>
        </w:tc>
      </w:tr>
    </w:tbl>
    <w:p w:rsidR="005C1ABF" w:rsidRDefault="005C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16"/>
          <w:u w:val="single"/>
          <w:lang w:eastAsia="ru-RU"/>
        </w:rPr>
      </w:pPr>
    </w:p>
    <w:p w:rsidR="005C1ABF" w:rsidRDefault="00AF2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16"/>
          <w:u w:val="single"/>
          <w:lang w:eastAsia="ru-RU"/>
        </w:rPr>
        <w:t>Басейн має бути оснащений:</w:t>
      </w:r>
    </w:p>
    <w:p w:rsidR="005C1ABF" w:rsidRDefault="00AF2DCF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роздягальнями для юнаків та дівчат з шафами для одягу та сушками для волосся;</w:t>
      </w:r>
    </w:p>
    <w:p w:rsidR="005C1ABF" w:rsidRDefault="00AF2DCF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душовими кімнатами для юнаків та дівчат;</w:t>
      </w:r>
    </w:p>
    <w:p w:rsidR="005C1ABF" w:rsidRDefault="00AF2DCF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туалетними кімнатами з сушками для рук;</w:t>
      </w:r>
    </w:p>
    <w:p w:rsidR="005C1ABF" w:rsidRDefault="00AF2DCF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кімнатою для тренерсько-викладацького складу;</w:t>
      </w:r>
    </w:p>
    <w:p w:rsidR="005C1ABF" w:rsidRDefault="00AF2DCF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гардеробом для верхнього одягу.</w:t>
      </w:r>
    </w:p>
    <w:p w:rsidR="005C1ABF" w:rsidRDefault="005C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16"/>
          <w:u w:val="single"/>
          <w:lang w:eastAsia="ru-RU"/>
        </w:rPr>
      </w:pPr>
    </w:p>
    <w:p w:rsidR="005C1ABF" w:rsidRDefault="00AF2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16"/>
          <w:u w:val="single"/>
          <w:lang w:eastAsia="ru-RU"/>
        </w:rPr>
        <w:t>Технічні вимоги до басейну:</w:t>
      </w:r>
    </w:p>
    <w:p w:rsidR="005C1ABF" w:rsidRDefault="00AF2DCF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плавальні доріжки повинні мати розміри у довжину 50 м;</w:t>
      </w:r>
    </w:p>
    <w:p w:rsidR="005C1ABF" w:rsidRDefault="00AF2DCF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кількість доріжок для плавання не менше 8 (восьми);</w:t>
      </w:r>
    </w:p>
    <w:p w:rsidR="005C1ABF" w:rsidRDefault="00AF2DCF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відповідне природне та штучне освітлення;</w:t>
      </w:r>
    </w:p>
    <w:p w:rsidR="005C1ABF" w:rsidRDefault="00AF2DCF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якість води повинна відповідати існуючим санітарно-гігієнічним вимогам;</w:t>
      </w:r>
    </w:p>
    <w:p w:rsidR="005C1ABF" w:rsidRDefault="00AF2DCF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 xml:space="preserve">дотримана температура води та повітря у басейні: вода в межах +26-30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16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, повітря у басейні +26</w:t>
      </w:r>
      <w:r>
        <w:rPr>
          <w:rFonts w:ascii="Times New Roman" w:eastAsia="Times New Roman" w:hAnsi="Times New Roman" w:cs="Times New Roman"/>
          <w:bCs/>
          <w:sz w:val="24"/>
          <w:szCs w:val="16"/>
          <w:vertAlign w:val="superscript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16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, в душових кімнатах + 25</w:t>
      </w:r>
      <w:r>
        <w:rPr>
          <w:rFonts w:ascii="Times New Roman" w:eastAsia="Times New Roman" w:hAnsi="Times New Roman" w:cs="Times New Roman"/>
          <w:bCs/>
          <w:sz w:val="24"/>
          <w:szCs w:val="16"/>
          <w:vertAlign w:val="superscript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16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, у роздягальнях +23</w:t>
      </w:r>
      <w:r>
        <w:rPr>
          <w:rFonts w:ascii="Times New Roman" w:eastAsia="Times New Roman" w:hAnsi="Times New Roman" w:cs="Times New Roman"/>
          <w:bCs/>
          <w:sz w:val="24"/>
          <w:szCs w:val="16"/>
          <w:vertAlign w:val="superscript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16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;</w:t>
      </w:r>
    </w:p>
    <w:p w:rsidR="005C1ABF" w:rsidRDefault="00AF2DCF">
      <w:pPr>
        <w:numPr>
          <w:ilvl w:val="0"/>
          <w:numId w:val="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наявність припливно-витяжної венти</w:t>
      </w: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ляції;</w:t>
      </w:r>
    </w:p>
    <w:p w:rsidR="005C1ABF" w:rsidRDefault="00AF2DCF">
      <w:pPr>
        <w:numPr>
          <w:ilvl w:val="0"/>
          <w:numId w:val="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наявність стартових тумбочок, які відповідають сучасним вимогам та правилам міжнародної федерації плавання (FINA);</w:t>
      </w:r>
    </w:p>
    <w:p w:rsidR="005C1ABF" w:rsidRDefault="00AF2DCF">
      <w:pPr>
        <w:numPr>
          <w:ilvl w:val="0"/>
          <w:numId w:val="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наявність розмітки басейна;</w:t>
      </w:r>
    </w:p>
    <w:p w:rsidR="005C1ABF" w:rsidRDefault="00AF2DCF">
      <w:pPr>
        <w:numPr>
          <w:ilvl w:val="0"/>
          <w:numId w:val="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наявність поручнів для входу і виходу з води.</w:t>
      </w:r>
    </w:p>
    <w:p w:rsidR="005C1ABF" w:rsidRDefault="00AF2DCF">
      <w:pPr>
        <w:numPr>
          <w:ilvl w:val="0"/>
          <w:numId w:val="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наявність власної системи знезараження води;</w:t>
      </w:r>
    </w:p>
    <w:p w:rsidR="005C1ABF" w:rsidRDefault="00AF2DCF">
      <w:pPr>
        <w:numPr>
          <w:ilvl w:val="0"/>
          <w:numId w:val="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наявність медич</w:t>
      </w: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ного працівника або фахівця, який може надати першу медичну допомогу.</w:t>
      </w:r>
    </w:p>
    <w:p w:rsidR="005C1ABF" w:rsidRDefault="00AF2DCF">
      <w:pPr>
        <w:numPr>
          <w:ilvl w:val="0"/>
          <w:numId w:val="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наявність спортивного інвентарю для плавання.</w:t>
      </w:r>
    </w:p>
    <w:p w:rsidR="005C1ABF" w:rsidRDefault="005C1ABF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</w:p>
    <w:p w:rsidR="005C1ABF" w:rsidRDefault="00AF2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Спортивний зал має знаходитися поруч з басейном для розминки та очікування перед входом в басейн, з довжиною не менше 24 м та шириною не ме</w:t>
      </w: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нше 12 м, із забезпеченням вільного доступу для осіб з інвалідністю та наявністю освітлення та провітрювання. Дотримана температура повітря в спортивному залі має бути не менше +18</w:t>
      </w:r>
      <w:r>
        <w:rPr>
          <w:rFonts w:ascii="Times New Roman" w:eastAsia="Times New Roman" w:hAnsi="Times New Roman" w:cs="Times New Roman"/>
          <w:bCs/>
          <w:sz w:val="24"/>
          <w:szCs w:val="16"/>
          <w:vertAlign w:val="superscript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16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.</w:t>
      </w:r>
    </w:p>
    <w:p w:rsidR="005C1ABF" w:rsidRDefault="00AF2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Тренажерний зал має містити усе необхідне обладнання для тренування спо</w:t>
      </w: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ртсменів з плавання.</w:t>
      </w:r>
    </w:p>
    <w:p w:rsidR="005C1ABF" w:rsidRDefault="00AF2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Споруда, в якій будуть надаватися послуги користування басейном тренажерним та спортивним залом, має бути спеціально збудована для фізкультурно-спортивної та оздоровчої діяльності.</w:t>
      </w:r>
    </w:p>
    <w:p w:rsidR="005C1ABF" w:rsidRDefault="00AF2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В усіх приміщеннях та спорудах, у т. ч. спортивної інфраструктури, в яких будуть надаватися послуги, має бути реалізовано комплекс архітектурно-планувальних, інженерно-технічних, ергономічних, конструкційних і організаційних заходів, що відповідають нормат</w:t>
      </w:r>
      <w:r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ивним вимогам ДБН (у т. ч. ДБН В.2.2-13-2003 та ДБНВ.2.2-17:2006), стандартам і правилам щодо забезпечення доступності і безпеки осіб з інвалідністю усіх нозологій, в тому наявність санітарних кімнат для осіб з інвалідністю.</w:t>
      </w:r>
    </w:p>
    <w:p w:rsidR="005C1ABF" w:rsidRDefault="005C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</w:p>
    <w:p w:rsidR="005C1ABF" w:rsidRDefault="00AF2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16"/>
          <w:u w:val="single"/>
          <w:lang w:eastAsia="ru-RU"/>
        </w:rPr>
        <w:t>Безпека:</w:t>
      </w:r>
    </w:p>
    <w:p w:rsidR="005C1ABF" w:rsidRDefault="00AF2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При наданні послуг по</w:t>
      </w: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 xml:space="preserve">винні забезпечуватися: повна безпека для життя і здоров'я осіб з інвалідністю усіх нозологій, дотримання вимог санітарного законодавства, правил протипожежної безпеки, дотримання заходів з профілактики травматизму і попередження </w:t>
      </w: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lastRenderedPageBreak/>
        <w:t>нещасних випадків, захист в</w:t>
      </w: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ід будь-яких форм дискримінації, експлуатації, насильства з боку працівників закладу.</w:t>
      </w:r>
    </w:p>
    <w:p w:rsidR="005C1ABF" w:rsidRDefault="00AF2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Наявність шляхів евакуації, що відповідають вимогам ДБН, стандартам і правилам щодо забезпечення безпеки осіб з інвалідністю всіх нозологій, а саме:</w:t>
      </w:r>
    </w:p>
    <w:p w:rsidR="005C1ABF" w:rsidRDefault="00AF2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наявність світлових покажчиків напряму руху у разі пожежі;</w:t>
      </w:r>
    </w:p>
    <w:p w:rsidR="005C1ABF" w:rsidRDefault="00AF2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 xml:space="preserve">пожежний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сповіщувач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: візуальний і звуковий, для осіб з інвалідністю усіх нозологій;</w:t>
      </w:r>
    </w:p>
    <w:p w:rsidR="005C1ABF" w:rsidRDefault="00AF2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При цьому головною умовою при наданні послуг користування спортивною спорудою у складі басейну, тренажерного та с</w:t>
      </w: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портивного залу для осіб з інвалідністю має бути відносно безпечна територія України, де не проводяться бойові дії, а також забезпечення дотримання усіх необхідних заходів безпеки для періоду воєнного стану.</w:t>
      </w:r>
    </w:p>
    <w:p w:rsidR="005C1ABF" w:rsidRDefault="00AF2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Обов’язково при наданні послуг користування спор</w:t>
      </w: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тивною спорудою у складі басейну, тренажерного та спортивного залу для осіб з інвалідністю мають дотримуватися всі умови безпеки, передбачені законодавством України про воєнний стан.</w:t>
      </w:r>
    </w:p>
    <w:p w:rsidR="005C1ABF" w:rsidRDefault="00AF2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Має бути наявне активне сповіщення про повітряні тривоги, мають бути забе</w:t>
      </w: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зпечені на випадок бойової загрози шляхи евакуації, передбачені нормами та правилами безпеки для воєнного стану, що регламентуються діючим законодавством України, шляхи евакуації для дітей з інвалідністю, а також мають бути наявні та в справному стані бомб</w:t>
      </w: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осховища / укриття /сховища на випадок бойової загрози.</w:t>
      </w:r>
    </w:p>
    <w:p w:rsidR="005C1ABF" w:rsidRDefault="005C1ABF"/>
    <w:sectPr w:rsidR="005C1AB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CF" w:rsidRDefault="00AF2DCF">
      <w:pPr>
        <w:spacing w:after="0" w:line="240" w:lineRule="auto"/>
      </w:pPr>
      <w:r>
        <w:separator/>
      </w:r>
    </w:p>
  </w:endnote>
  <w:endnote w:type="continuationSeparator" w:id="0">
    <w:p w:rsidR="00AF2DCF" w:rsidRDefault="00AF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CF" w:rsidRDefault="00AF2DCF">
      <w:pPr>
        <w:spacing w:after="0" w:line="240" w:lineRule="auto"/>
      </w:pPr>
      <w:r>
        <w:separator/>
      </w:r>
    </w:p>
  </w:footnote>
  <w:footnote w:type="continuationSeparator" w:id="0">
    <w:p w:rsidR="00AF2DCF" w:rsidRDefault="00AF2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037F"/>
    <w:multiLevelType w:val="hybridMultilevel"/>
    <w:tmpl w:val="81D41514"/>
    <w:lvl w:ilvl="0" w:tplc="15DAB1B8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914EED48">
      <w:start w:val="1"/>
      <w:numFmt w:val="decimal"/>
      <w:lvlText w:val="%2."/>
      <w:lvlJc w:val="left"/>
      <w:pPr>
        <w:tabs>
          <w:tab w:val="left" w:pos="6173"/>
        </w:tabs>
        <w:ind w:left="6173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 w:tplc="82CA0F10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 w:tplc="5060C5F8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3BACB9BE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22C07076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E65630D8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36B4F16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79E0FDFC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280339E0"/>
    <w:multiLevelType w:val="hybridMultilevel"/>
    <w:tmpl w:val="0B66AA50"/>
    <w:lvl w:ilvl="0" w:tplc="73E482F4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2C7CF1E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E96CAC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5E4647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FA68A6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E0289D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1A0DD1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584181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50CAAF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0C514C"/>
    <w:multiLevelType w:val="hybridMultilevel"/>
    <w:tmpl w:val="372AAA1C"/>
    <w:lvl w:ilvl="0" w:tplc="7C9852C4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A430639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B1A329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38AEE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2EECD2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230057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2A5F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D8A58E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9BA4B6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B92D03"/>
    <w:multiLevelType w:val="hybridMultilevel"/>
    <w:tmpl w:val="0BCCCF96"/>
    <w:lvl w:ilvl="0" w:tplc="6508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4E0EE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D09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AA13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5A30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AEB9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C87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249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F83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0915F5"/>
    <w:multiLevelType w:val="hybridMultilevel"/>
    <w:tmpl w:val="251861EA"/>
    <w:lvl w:ilvl="0" w:tplc="ED543C18">
      <w:start w:val="1"/>
      <w:numFmt w:val="decimal"/>
      <w:suff w:val="space"/>
      <w:lvlText w:val="%1."/>
      <w:lvlJc w:val="left"/>
      <w:rPr>
        <w:b/>
        <w:bCs/>
        <w:strike w:val="0"/>
      </w:rPr>
    </w:lvl>
    <w:lvl w:ilvl="1" w:tplc="F7D66A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16CA2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CCEB3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80650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165A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4A27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7CA1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9FC69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6D9D7F32"/>
    <w:multiLevelType w:val="hybridMultilevel"/>
    <w:tmpl w:val="FBA80B74"/>
    <w:lvl w:ilvl="0" w:tplc="D7BA8B4A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260884E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 w:tplc="9DBEF63E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 w:tplc="4C76CDEE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A5622D3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E77C39FC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F6688FC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3FBA5222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463E085C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747E5C31"/>
    <w:multiLevelType w:val="multilevel"/>
    <w:tmpl w:val="8BA48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>
    <w:nsid w:val="7C67568B"/>
    <w:multiLevelType w:val="hybridMultilevel"/>
    <w:tmpl w:val="9AA42000"/>
    <w:lvl w:ilvl="0" w:tplc="04EAC8D4">
      <w:start w:val="1"/>
      <w:numFmt w:val="decimal"/>
      <w:lvlText w:val="%1."/>
      <w:lvlJc w:val="left"/>
      <w:pPr>
        <w:ind w:left="720" w:hanging="360"/>
      </w:pPr>
    </w:lvl>
    <w:lvl w:ilvl="1" w:tplc="0DC6AD80">
      <w:start w:val="1"/>
      <w:numFmt w:val="lowerLetter"/>
      <w:lvlText w:val="%2."/>
      <w:lvlJc w:val="left"/>
      <w:pPr>
        <w:ind w:left="1440" w:hanging="360"/>
      </w:pPr>
    </w:lvl>
    <w:lvl w:ilvl="2" w:tplc="8A40334C">
      <w:start w:val="1"/>
      <w:numFmt w:val="lowerRoman"/>
      <w:lvlText w:val="%3."/>
      <w:lvlJc w:val="right"/>
      <w:pPr>
        <w:ind w:left="2160" w:hanging="180"/>
      </w:pPr>
    </w:lvl>
    <w:lvl w:ilvl="3" w:tplc="318AC4A4">
      <w:start w:val="1"/>
      <w:numFmt w:val="decimal"/>
      <w:lvlText w:val="%4."/>
      <w:lvlJc w:val="left"/>
      <w:pPr>
        <w:ind w:left="2880" w:hanging="360"/>
      </w:pPr>
    </w:lvl>
    <w:lvl w:ilvl="4" w:tplc="4AF408CC">
      <w:start w:val="1"/>
      <w:numFmt w:val="lowerLetter"/>
      <w:lvlText w:val="%5."/>
      <w:lvlJc w:val="left"/>
      <w:pPr>
        <w:ind w:left="3600" w:hanging="360"/>
      </w:pPr>
    </w:lvl>
    <w:lvl w:ilvl="5" w:tplc="FD7C14F8">
      <w:start w:val="1"/>
      <w:numFmt w:val="lowerRoman"/>
      <w:lvlText w:val="%6."/>
      <w:lvlJc w:val="right"/>
      <w:pPr>
        <w:ind w:left="4320" w:hanging="180"/>
      </w:pPr>
    </w:lvl>
    <w:lvl w:ilvl="6" w:tplc="DCF8B1EA">
      <w:start w:val="1"/>
      <w:numFmt w:val="decimal"/>
      <w:lvlText w:val="%7."/>
      <w:lvlJc w:val="left"/>
      <w:pPr>
        <w:ind w:left="5040" w:hanging="360"/>
      </w:pPr>
    </w:lvl>
    <w:lvl w:ilvl="7" w:tplc="F5461B90">
      <w:start w:val="1"/>
      <w:numFmt w:val="lowerLetter"/>
      <w:lvlText w:val="%8."/>
      <w:lvlJc w:val="left"/>
      <w:pPr>
        <w:ind w:left="5760" w:hanging="360"/>
      </w:pPr>
    </w:lvl>
    <w:lvl w:ilvl="8" w:tplc="C6C633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BF"/>
    <w:rsid w:val="00111A3B"/>
    <w:rsid w:val="005C1ABF"/>
    <w:rsid w:val="00AF2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annotation text"/>
    <w:basedOn w:val="a"/>
    <w:uiPriority w:val="99"/>
    <w:unhideWhenUsed/>
    <w:qFormat/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3">
    <w:name w:val="Без интервала1"/>
    <w:uiPriority w:val="1"/>
    <w:qFormat/>
    <w:pPr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pPr>
      <w:ind w:left="720"/>
      <w:contextualSpacing/>
    </w:pPr>
  </w:style>
  <w:style w:type="paragraph" w:styleId="af4">
    <w:name w:val="No Spacing"/>
    <w:uiPriority w:val="1"/>
    <w:qFormat/>
    <w:pPr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character" w:styleId="af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Theme="minorEastAsia" w:hAnsi="Segoe UI" w:cs="Segoe UI"/>
      <w:sz w:val="18"/>
      <w:szCs w:val="18"/>
    </w:rPr>
  </w:style>
  <w:style w:type="table" w:styleId="afc">
    <w:name w:val="Table Grid"/>
    <w:basedOn w:val="a1"/>
    <w:uiPriority w:val="3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c"/>
    <w:uiPriority w:val="39"/>
    <w:pPr>
      <w:spacing w:after="0" w:line="240" w:lineRule="auto"/>
    </w:pPr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annotation text"/>
    <w:basedOn w:val="a"/>
    <w:uiPriority w:val="99"/>
    <w:unhideWhenUsed/>
    <w:qFormat/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3">
    <w:name w:val="Без интервала1"/>
    <w:uiPriority w:val="1"/>
    <w:qFormat/>
    <w:pPr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pPr>
      <w:ind w:left="720"/>
      <w:contextualSpacing/>
    </w:pPr>
  </w:style>
  <w:style w:type="paragraph" w:styleId="af4">
    <w:name w:val="No Spacing"/>
    <w:uiPriority w:val="1"/>
    <w:qFormat/>
    <w:pPr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character" w:styleId="af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Theme="minorEastAsia" w:hAnsi="Segoe UI" w:cs="Segoe UI"/>
      <w:sz w:val="18"/>
      <w:szCs w:val="18"/>
    </w:rPr>
  </w:style>
  <w:style w:type="table" w:styleId="afc">
    <w:name w:val="Table Grid"/>
    <w:basedOn w:val="a1"/>
    <w:uiPriority w:val="3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c"/>
    <w:uiPriority w:val="39"/>
    <w:pPr>
      <w:spacing w:after="0" w:line="240" w:lineRule="auto"/>
    </w:pPr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2F06681B-8A41-4B00-9158-75A0090C4E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Alla</cp:lastModifiedBy>
  <cp:revision>2</cp:revision>
  <dcterms:created xsi:type="dcterms:W3CDTF">2023-12-21T13:21:00Z</dcterms:created>
  <dcterms:modified xsi:type="dcterms:W3CDTF">2023-12-21T13:21:00Z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